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585</w:t>
      </w:r>
    </w:p>
    <w:p>
      <w:r>
        <w:t>Bundesgericht (BGE), 1997-11-24, DE</w:t>
      </w:r>
    </w:p>
    <w:p>
      <w:r>
        <w:rPr>
          <w:b/>
        </w:rPr>
        <w:t xml:space="preserve">Quelle: </w:t>
      </w:r>
      <w:r>
        <w:t>https://mcp.opencaselaw.ch/entscheid/bge_125 II 585</w:t>
      </w:r>
    </w:p>
    <w:p>
      <w:r>
        <w:t>FR: ATF 125 II 585</w:t>
      </w:r>
    </w:p>
    <w:p>
      <w:r>
        <w:t>IT: DTF 125 II 585</w:t>
      </w:r>
    </w:p>
    <w:p>
      <w:pPr>
        <w:pStyle w:val="Heading2"/>
      </w:pPr>
      <w:r>
        <w:t>Regeste</w:t>
      </w:r>
    </w:p>
    <w:p>
      <w:r>
        <w:t>Regeste Art. 17 Abs. 2 ANAG, Art. 8 EMRK; Verweigerung des Nachzugs des jüngsten Sohnes aus der ersten Ehe einer Ausländerin. Die Nachzugsregelung von Art. 17 Abs. 2 dritter Satz ANAG ist auf den Fall zugeschnitten, dass die eheliche Beziehung der gemeinsamen Eltern intakt ist. Bei einem nachträglichen Nachzug von Kindern getrennt lebender bzw. geschiedener ausländischer Eltern kann es daher zum Vornherein nur um eine analoge Anwendung dieser Bestimmung gehen. Es widerspricht daher dem Gesetzeszweck nicht, wenn für den Nachzug solcher Kinder deren Beziehung zu Drittpersonen mitberücksichtigt wird (E. 2c).</w:t>
      </w:r>
    </w:p>
    <w:p>
      <w:pPr>
        <w:pStyle w:val="Heading2"/>
      </w:pPr>
      <w:r>
        <w:t>Erwägungen</w:t>
      </w:r>
    </w:p>
    <w:p>
      <w:r>
        <w:rPr>
          <w:b/>
        </w:rPr>
        <w:t>E. 2</w:t>
      </w:r>
    </w:p>
    <w:p>
      <w:r>
        <w:t>a) Zweck des Familiennachzugs gemäss Art. 17 Abs. 2 dritter Satz des Bundesgesetzes vom 26. März 1931 über Aufenthalt und Niederlassung der Ausländer (ANAG; SR 142.20)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Ein Nachzugsrecht setzt vielmehr voraus, dass das Kind zu dem in der Schweiz lebenden Elternteil die vorrangige familiäre Beziehung unterhält. Dabei kommt es nicht nur auf die bisherigen Verhältnisse an, sondern es BGE 125 II 585 S. 587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124 II 361 E. 3a S. 366; BGE 118 Ib 153 E. 2b S. 159).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119 Ib 81 E. 3a S. 88; BGE 115 Ib 97 E. 3a S. 101). b) Die Vorinstanz hat diese Grundsätze an sich nicht verkannt. Sie ist jedoch der Auffassung, es komme beim Familiennachzug nach Art. 17 Abs. 2 dritter Satz ANAG nicht darauf an, welcher Fürsorge das Kind noch bedürfe und ob die konkret erforderliche Fürsorge nicht besser weiterhin von einem sonstigen Verwandten, zu dem ein enges Verhältnis bestehe, erbracht werden könne. Der Familienbegriff von Art. 17 ANAG sei nicht identisch mit jenem von Art. 8 EMRK (SR 0.101). Art. 17 Abs. 2 dritter Satz ANAG statuiere einen Anspruch für ledige Kinder unter 18 Jahren auf Einbezug in die Niederlassungsbewilligung ihrer Eltern. Lebten die Eltern zusammen, sei nicht zu prüfen, ob das nachzuziehende Kind allenfalls zu einer im Ausland lebenden Drittperson eine vorrangige (familiäre) Beziehung unterhalte. Das Recht auf Nachzug eines Kindes stehe auch einem einzelnen Elternteil zu, wenn die Eltern getrennt lebten oder geschieden seien und die Zusammenführung der (Rest-) Familie bezweckt werde. Dies gelte jedoch nicht vorbehaltlos, sondern nur dann, wenn die Beurteilung der Eltern-Kind-Beziehung eine vorrangige familiäre Beziehung zum nachzugsberechtigten BGE 125 II 585 S. 588 Elternteil ergebe. Eine andere Auslegung von Art. 17 Abs. 2 dritter Satz ANAG, insbesondere die Berücksichtigung einer vorrangigen (familiären) Beziehung zu einer Drittperson, widerspreche dem Zweck der rechtlichen Absicherung des Zusammenlebens der Gesamt- bzw. Teilfamilie. Die Berücksichtigung weiterer Bezugspersonen bei der Beurteilung der vorrangigen familiären Beziehung würde auch zu einer ungerechtfertigten Diskriminierung alleinerziehender Eltern und ihrer Kinder führen. Es sei nicht einsichtig, weshalb Kindern, die nur noch über einen sorgeberechtigten Elternteil verfügen, der Familiennachzug mit dem Argument verweigert werden könnte, sie hätten zu einer Drittperson eine vorrangige (familiäre) Beziehung, wogegen bei Kindern in sogenannt intakten Familien diese Frage überhaupt nicht aufgeworfen werde. Einer derartigen Argumentation zu folgen, hiesse, den Ein-Eltern-Familien die Anerkennung zu verweigern. Weiter stehe einer solchen Argumentation entgegen, dass die Beziehung von Kindern zu Drittpersonen - insbesondere im Hinblick auf die Beurteilung unter dem Gesichtspunkt von Art. 17 ANAG - gar nicht als familiäre Beziehung bezeichnet werden könne, da diese Bestimmung lediglich die Kernfamilie (Eltern und ihre Kinder) schütze. Bei der Ergründung der vorrangigen familiären Beziehung seien demzufolge Beziehungen der Kinder zu Drittpersonen unbeachtlich. Einzig wenn kein Anspruch auf Familiennachzug gestützt auf Art. 17 Abs. 2 ANAG bestehe, sei eine weitergehende Prüfung gestützt auf Art. 8 EMRK angezeigt. Im Gegensatz zu Art. 17 Abs. 2 ANAG beschränke sich der Schutzbereich von Art. 8 EMRK nicht auf die Kernfamilie, sondern erstrecke sich auf die Beziehung zwischen allen nahen Verwandten, die in der Familie eine wesentliche Rolle spielen könnten. Beim Nachzug eines Kindes sei im Hinblick auf den erweiterten Familienbegriff dementsprechend nicht nur eine vorrangige (familiäre) Beziehung zum nachzugsberechtigten Elternteil im Vergleich zum andern Elternteil, sondern auch im Vergleich zu Drittpersonen erforderlich. c) Eine solche Unterscheidung hat das Bundesgericht in seiner Praxis indessen nie gemacht. Es hat im Gegenteil bei einem nachträglichen Familiennachzug einer Teilfamilie unter dem Gesichtspunkt von Art. 17 Abs. 2 ANAG immer die Beziehungen der Kinder zu weiteren Betreuungspersonen ebenfalls in Betracht gezogen. So hat es in BGE 124 II 361 E. 3a S. 366 ausgeführt, auch wenn Art. 17 Abs. 2 dritter Satz ANAG sowie Art. 8 EMRK unter anderem die familiäre Beziehung getrennt lebender Eltern zu ihren Kindern BGE 125 II 585 S. 589 schützten, räumten diese Bestimmungen grundsätzlich nicht demjenigen Elternteil ein Recht auf Nachzug eines Kindes ein, der freiwillig ins Ausland verreist sei und ein weniger enges Verhältnis zum Kind habe als der andere Elternteil "oder sonstige Verwandte, die für das Kind sorgen", wenn er seine bisherigen Beziehungen zum Kind weiterhin pflegen könne. Im Urteil vom 23. Februar 1999 i.S. Rexhepallari hat es dementsprechend massgebend darauf abgestellt, dass die nachzuziehenden Kinder seit vielen Jahren (im Ausland) bei den Grosseltern gelebt und von diesen erzogen worden waren. Auch im Urteil vom 30. September 1998 i.S. Karagöz war entscheidend, dass die Grossmutter die vorrangige Beziehungsperson der Kinder gewesen war. In dem ebenfalls den Kanton Aargau betreffenden Urteil vom 26. Juli 1999 i.S. EJPD c. Krasniqi wurde der Nachzug eines Teils der Kinder nur deswegen bewilligt, weil die Grossmutter, welche die im Kosovo zurückgelassenen Kinder seit Jahren betreut hatte, inzwischen verstorben war und insofern neue Betreuungsbedürfnisse entstanden waren. Das Bundesgericht hat aber ausdrücklich darauf hingewiesen, es genüge nicht, dass im Verhältnis zwischen den Kindern und ihren Eltern eine vorrangige Beziehung der Kinder zum in der Schweiz wohnenden Vater bestehe; die Bewilligung des nachträglichen Familiennachzugs setze zusätzlich voraus, dass er sich als zu deren Pflege notwendig erweisen müsse; dies sei insbesondere dann nicht der Fall, wenn im Heimatland alternative Betreuungsmöglichkeiten zur Verfügung stünden, die dem Kindeswohl besser entsprächen, beispielsweise weil dadurch vermieden werden könne, die Kinder aus ihrer bisherigen Umgebung und dem ihnen vertrauten Beziehungsumfeld herauszureissen (E. 4c des zitierten Urteils). Es besteht kein Anlass, von dieser Praxis abzuweichen. Mit ihrer gegenteiligen Auffassung verkennt die Vorinstanz (wie auch MARC SPESCHA, Handbuch zum Ausländerrecht, Bern/Stuttgart/Wien 1999, S. 172 ff., S. 174) letztlich namentlich, worauf das Bundesgericht schon in BGE 118 Ib 153 E. 2b S. 159 hingewiesen hat, nämlich dass Wortlaut und Sinn von Art. 17 Abs. 2 dritter Satz ANAG auf den Nachzug gemeinsamer Kinder zugeschnitten sind und damit den Nachzug von Kindern getrennter bzw. geschiedener Eltern direkt gar nicht erfassen. Es kann daher in solchen Fällen zum Vornherein nur um eine analoge Anwendung gehen, weshalb auch nicht gesagt werden kann, die Berücksichtigung der Beziehungen der Kinder zu Drittpersonen widerspreche dem Gesetz. Zwar will Art. 17 Abs. 2 ANAG das familiäre Zusammenleben innerhalb der Kernfamilie BGE 125 II 585 S. 590 (bestehend aus Eltern und gemeinsamen Kindern) gewährleisten; dies hat indessen nichts mit der Frage zu tun, welche Voraussetzungen für den Familiennachzug erforderlich sind, wenn diese Familie nicht mehr besteht. Insofern kommt es auf den der Bestimmung zugrunde liegenden Familienbegriff nicht an. In der Berücksichtigung der Beziehungen zu weiteren Betreuungspersonen liegt schliesslich auch keine Diskriminierung der Kinder getrennter bzw. geschiedener Eltern, denn solche Kinder befinden sich zum Vornherein nicht in der gleichen Lage wie die Kinder verheirateter Eltern, die nach der Vorstellung des Gesetzgebers regelmässig zusammen mit dem vorerst in der Heimat zurückgebliebenen Elternteil nachgezogen werden (vgl. Art. 38 f. der Verordnung über die Begrenzung der Zahl der Ausländer vom 6. Oktober 1986, BVO, SR 823.21), weshalb sich bei ihnen die Frage der Beziehungen zu Drittpersonen im Normalfall gar nicht stellt. d) Im vorliegenden Fall heiratete die Beschwerdegegnerin, deren Ehe im Jahre 1990 geschieden worden war, am 21. Februar 1992 den Schweizer Bürger B. und erhielt in der Folge die Aufenthaltsbewilligung. Die vier Kinder, die bei der Scheidung unter ihre Obhut gestellt worden waren, liess sie in ihrer brasilianischen Heimat zurück, wo sie offenbar von den Grosseltern betreut wurden. Ein Familiennachzugsgesuch stellte sie erst am 1. November 1996, und nur für den Sohn F., der damals als einziges der Kinder das 18. Alters- jahr noch nicht überschritten hatte, obwohl sie gestützt auf Art. 8 EMRK von Anfang an einen Anspruch auf Familiennachzug hätte geltend machen können. Hierzu wäre sie wirtschaftlich, jedenfalls nachdem ihr Ehemann im Jahre 1994 ein Einfamilienhaus erworben hatte, auch in der Lage gewesen. Plausible Gründe für den nachträglichen Familiennachzug bringt die Beschwerdegegnerin nicht vor. Insbesondere behauptet sie nicht, dass sich die Betreuungsverhältnisse in Brasilien, wo sich die Geschwister des Sohnes und dessen Vater weiterhin aufhalten, inzwischen geändert hätten. Unter diesen Umständen verstiess die kantonale Fremdenpolizei nicht gegen Bundesrecht, wenn sie das Familiennachzugsgesuch abwies. Sie durfte dabei auch berücksichtigen, dass es nicht dem Sinn und Zweck des Instituts des Familiennachzugs entspricht, wenn ein Kind erst nach Absolvierung der Schulpflicht nachgezogen wird, um ihm in der Schweiz eine bessere berufliche Ausbildung zu ermöglichen und das wirtschaftliche Fortkommen zu sichern. Ein eigentlicher Rechtsmissbrauch ist dabei entgegen der Auffassung der Vorinstanz nicht erforderlich. BGE 125 II 585 S. 591 e) Aus Art. 8 EMRK lassen sich in einem Fall wie dem vorliegenden keine weitergehenden Ansprüche ableiten. Im Übrigen hatte das nachzuziehende Kind schon im Zeitpunkt der Ausfällung des angefochtenen Entscheids das 18. Altersjahr überschritten, weshalb sich die Beschwerdegegnerin ohnehin nicht auf diese Bestimmung berufen kann (vgl. BGE 120 Ib 257 E. 1e und f S. 261-263). f) Zusammenfassend ist deshalb festzustellen, dass der angefochtene Entscheid der Vorinstanz, gemäss welchem der Familiennachzug von F. bewilligt wurde,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